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FCC3" w14:textId="77777777" w:rsidR="000D034A" w:rsidRPr="000D034A" w:rsidRDefault="000D034A" w:rsidP="000D034A">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0D034A">
        <w:rPr>
          <w:rFonts w:ascii="Times New Roman" w:eastAsia="Times New Roman" w:hAnsi="Times New Roman" w:cs="Times New Roman"/>
          <w:b/>
          <w:bCs/>
          <w:kern w:val="0"/>
          <w:sz w:val="36"/>
          <w:szCs w:val="36"/>
          <w:lang w:val="en-US"/>
          <w14:ligatures w14:val="none"/>
        </w:rPr>
        <w:t>General Terms and Conditions for the Purchase of the Guide</w:t>
      </w:r>
    </w:p>
    <w:p w14:paraId="2FE9A4F9" w14:textId="77777777" w:rsidR="000D034A" w:rsidRPr="000D034A" w:rsidRDefault="000D034A" w:rsidP="000D034A">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0D034A">
        <w:rPr>
          <w:rFonts w:ascii="Times New Roman" w:eastAsia="Times New Roman" w:hAnsi="Times New Roman" w:cs="Times New Roman"/>
          <w:b/>
          <w:bCs/>
          <w:kern w:val="0"/>
          <w:sz w:val="27"/>
          <w:szCs w:val="27"/>
          <w:lang w:val="en-US"/>
          <w14:ligatures w14:val="none"/>
        </w:rPr>
        <w:t>1. Seller Information</w:t>
      </w:r>
    </w:p>
    <w:p w14:paraId="316AC005" w14:textId="77777777" w:rsidR="000D034A" w:rsidRPr="00804685"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The seller of the </w:t>
      </w:r>
      <w:r w:rsidRPr="000D034A">
        <w:rPr>
          <w:rFonts w:ascii="Times New Roman" w:eastAsia="Times New Roman" w:hAnsi="Times New Roman" w:cs="Times New Roman"/>
          <w:i/>
          <w:iCs/>
          <w:kern w:val="0"/>
          <w:lang w:val="en-US"/>
          <w14:ligatures w14:val="none"/>
        </w:rPr>
        <w:t>Practical Guide on How to Pass the California Bar Exam as a Non-US Attorney</w:t>
      </w:r>
      <w:r w:rsidRPr="000D034A">
        <w:rPr>
          <w:rFonts w:ascii="Times New Roman" w:eastAsia="Times New Roman" w:hAnsi="Times New Roman" w:cs="Times New Roman"/>
          <w:kern w:val="0"/>
          <w:lang w:val="en-US"/>
          <w14:ligatures w14:val="none"/>
        </w:rPr>
        <w:t xml:space="preserve"> (hereinafter: the “Guide”) is </w:t>
      </w:r>
      <w:r w:rsidRPr="000D034A">
        <w:rPr>
          <w:rFonts w:ascii="Times New Roman" w:eastAsia="Times New Roman" w:hAnsi="Times New Roman" w:cs="Times New Roman"/>
          <w:b/>
          <w:bCs/>
          <w:kern w:val="0"/>
          <w:lang w:val="en-US"/>
          <w14:ligatures w14:val="none"/>
        </w:rPr>
        <w:t>Vikor Áron Dávid Ügyvédi Iroda</w:t>
      </w:r>
      <w:r w:rsidRPr="000D034A">
        <w:rPr>
          <w:rFonts w:ascii="Times New Roman" w:eastAsia="Times New Roman" w:hAnsi="Times New Roman" w:cs="Times New Roman"/>
          <w:kern w:val="0"/>
          <w:lang w:val="en-US"/>
          <w14:ligatures w14:val="none"/>
        </w:rPr>
        <w:t>, a law firm registered in Hungary and operating under Hungarian law (hereinafter: the “Law Firm”).</w:t>
      </w:r>
    </w:p>
    <w:p w14:paraId="53DA3CCA" w14:textId="14DEE4CF" w:rsidR="000D034A" w:rsidRPr="00804685"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804685">
        <w:rPr>
          <w:rFonts w:ascii="Times New Roman" w:eastAsia="Times New Roman" w:hAnsi="Times New Roman" w:cs="Times New Roman"/>
          <w:kern w:val="0"/>
          <w:lang w:val="en-US"/>
          <w14:ligatures w14:val="none"/>
        </w:rPr>
        <w:t xml:space="preserve">Address: </w:t>
      </w:r>
      <w:proofErr w:type="spellStart"/>
      <w:r w:rsidRPr="00804685">
        <w:rPr>
          <w:rFonts w:ascii="Times New Roman" w:eastAsia="Times New Roman" w:hAnsi="Times New Roman" w:cs="Times New Roman"/>
          <w:kern w:val="0"/>
          <w:lang w:val="en-US"/>
          <w14:ligatures w14:val="none"/>
        </w:rPr>
        <w:t>Viador</w:t>
      </w:r>
      <w:proofErr w:type="spellEnd"/>
      <w:r w:rsidRPr="00804685">
        <w:rPr>
          <w:rFonts w:ascii="Times New Roman" w:eastAsia="Times New Roman" w:hAnsi="Times New Roman" w:cs="Times New Roman"/>
          <w:kern w:val="0"/>
          <w:lang w:val="en-US"/>
          <w14:ligatures w14:val="none"/>
        </w:rPr>
        <w:t xml:space="preserve"> street 11, Budapest, H-1034 Hungary</w:t>
      </w:r>
    </w:p>
    <w:p w14:paraId="056B51FD" w14:textId="0EB58950" w:rsidR="000D034A" w:rsidRPr="00804685"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804685">
        <w:rPr>
          <w:rFonts w:ascii="Times New Roman" w:eastAsia="Times New Roman" w:hAnsi="Times New Roman" w:cs="Times New Roman"/>
          <w:kern w:val="0"/>
          <w:lang w:val="en-US"/>
          <w14:ligatures w14:val="none"/>
        </w:rPr>
        <w:t xml:space="preserve">Email: </w:t>
      </w:r>
      <w:hyperlink r:id="rId4" w:history="1">
        <w:r w:rsidRPr="00804685">
          <w:rPr>
            <w:rStyle w:val="Hyperlink"/>
            <w:rFonts w:ascii="Times New Roman" w:eastAsia="Times New Roman" w:hAnsi="Times New Roman" w:cs="Times New Roman"/>
            <w:kern w:val="0"/>
            <w:lang w:val="en-US"/>
            <w14:ligatures w14:val="none"/>
          </w:rPr>
          <w:t>info@goodtolaw.eu</w:t>
        </w:r>
      </w:hyperlink>
    </w:p>
    <w:p w14:paraId="6755584E" w14:textId="77777777" w:rsidR="000D034A" w:rsidRPr="000D034A" w:rsidRDefault="000D034A" w:rsidP="000D034A">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0D034A">
        <w:rPr>
          <w:rFonts w:ascii="Times New Roman" w:eastAsia="Times New Roman" w:hAnsi="Times New Roman" w:cs="Times New Roman"/>
          <w:b/>
          <w:bCs/>
          <w:kern w:val="0"/>
          <w:sz w:val="27"/>
          <w:szCs w:val="27"/>
          <w:lang w:val="en-US"/>
          <w14:ligatures w14:val="none"/>
        </w:rPr>
        <w:t>2. Intellectual Property and Usage Rights</w:t>
      </w:r>
    </w:p>
    <w:p w14:paraId="50299608" w14:textId="1857CDBB" w:rsidR="000D034A" w:rsidRPr="000D034A"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The Guide constitutes the intellectual property of the Law Firm. By purchasing the Guide, the buyer acquires a </w:t>
      </w:r>
      <w:r w:rsidRPr="000D034A">
        <w:rPr>
          <w:rFonts w:ascii="Times New Roman" w:eastAsia="Times New Roman" w:hAnsi="Times New Roman" w:cs="Times New Roman"/>
          <w:b/>
          <w:bCs/>
          <w:kern w:val="0"/>
          <w:lang w:val="en-US"/>
          <w14:ligatures w14:val="none"/>
        </w:rPr>
        <w:t>non-exclusive, perpetual right</w:t>
      </w:r>
      <w:r w:rsidRPr="000D034A">
        <w:rPr>
          <w:rFonts w:ascii="Times New Roman" w:eastAsia="Times New Roman" w:hAnsi="Times New Roman" w:cs="Times New Roman"/>
          <w:kern w:val="0"/>
          <w:lang w:val="en-US"/>
          <w14:ligatures w14:val="none"/>
        </w:rPr>
        <w:t xml:space="preserve"> to </w:t>
      </w:r>
      <w:r w:rsidRPr="000D034A">
        <w:rPr>
          <w:rFonts w:ascii="Times New Roman" w:eastAsia="Times New Roman" w:hAnsi="Times New Roman" w:cs="Times New Roman"/>
          <w:b/>
          <w:bCs/>
          <w:kern w:val="0"/>
          <w:lang w:val="en-US"/>
          <w14:ligatures w14:val="none"/>
        </w:rPr>
        <w:t>possess and use</w:t>
      </w:r>
      <w:r w:rsidRPr="000D034A">
        <w:rPr>
          <w:rFonts w:ascii="Times New Roman" w:eastAsia="Times New Roman" w:hAnsi="Times New Roman" w:cs="Times New Roman"/>
          <w:kern w:val="0"/>
          <w:lang w:val="en-US"/>
          <w14:ligatures w14:val="none"/>
        </w:rPr>
        <w:t xml:space="preserve"> the Guide for their </w:t>
      </w:r>
      <w:r w:rsidRPr="000D034A">
        <w:rPr>
          <w:rFonts w:ascii="Times New Roman" w:eastAsia="Times New Roman" w:hAnsi="Times New Roman" w:cs="Times New Roman"/>
          <w:b/>
          <w:bCs/>
          <w:kern w:val="0"/>
          <w:lang w:val="en-US"/>
          <w14:ligatures w14:val="none"/>
        </w:rPr>
        <w:t>own purposes</w:t>
      </w:r>
      <w:r w:rsidRPr="000D034A">
        <w:rPr>
          <w:rFonts w:ascii="Times New Roman" w:eastAsia="Times New Roman" w:hAnsi="Times New Roman" w:cs="Times New Roman"/>
          <w:kern w:val="0"/>
          <w:lang w:val="en-US"/>
          <w14:ligatures w14:val="none"/>
        </w:rPr>
        <w:t>.</w:t>
      </w:r>
      <w:r w:rsidRPr="000D034A">
        <w:rPr>
          <w:rFonts w:ascii="Times New Roman" w:eastAsia="Times New Roman" w:hAnsi="Times New Roman" w:cs="Times New Roman"/>
          <w:kern w:val="0"/>
          <w:lang w:val="en-US"/>
          <w14:ligatures w14:val="none"/>
        </w:rPr>
        <w:br/>
        <w:t xml:space="preserve">The buyer </w:t>
      </w:r>
      <w:r w:rsidRPr="000D034A">
        <w:rPr>
          <w:rFonts w:ascii="Times New Roman" w:eastAsia="Times New Roman" w:hAnsi="Times New Roman" w:cs="Times New Roman"/>
          <w:b/>
          <w:bCs/>
          <w:kern w:val="0"/>
          <w:lang w:val="en-US"/>
          <w14:ligatures w14:val="none"/>
        </w:rPr>
        <w:t>is not permitted to distribute, disseminate, modify, adapt, translate, or rewrite</w:t>
      </w:r>
      <w:r w:rsidRPr="000D034A">
        <w:rPr>
          <w:rFonts w:ascii="Times New Roman" w:eastAsia="Times New Roman" w:hAnsi="Times New Roman" w:cs="Times New Roman"/>
          <w:kern w:val="0"/>
          <w:lang w:val="en-US"/>
          <w14:ligatures w14:val="none"/>
        </w:rPr>
        <w:t xml:space="preserve"> the Guide or any part thereof.</w:t>
      </w:r>
    </w:p>
    <w:p w14:paraId="666D87BF" w14:textId="77777777" w:rsidR="000D034A" w:rsidRPr="000D034A" w:rsidRDefault="000D034A" w:rsidP="000D034A">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0D034A">
        <w:rPr>
          <w:rFonts w:ascii="Times New Roman" w:eastAsia="Times New Roman" w:hAnsi="Times New Roman" w:cs="Times New Roman"/>
          <w:b/>
          <w:bCs/>
          <w:kern w:val="0"/>
          <w:sz w:val="27"/>
          <w:szCs w:val="27"/>
          <w:lang w:val="en-US"/>
          <w14:ligatures w14:val="none"/>
        </w:rPr>
        <w:t>3. No Legal Advice – Educational Purpose Only</w:t>
      </w:r>
    </w:p>
    <w:p w14:paraId="443BF8A8" w14:textId="16074D4F" w:rsidR="006575E3"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The content of the Guide is </w:t>
      </w:r>
      <w:r w:rsidRPr="000D034A">
        <w:rPr>
          <w:rFonts w:ascii="Times New Roman" w:eastAsia="Times New Roman" w:hAnsi="Times New Roman" w:cs="Times New Roman"/>
          <w:b/>
          <w:bCs/>
          <w:kern w:val="0"/>
          <w:lang w:val="en-US"/>
          <w14:ligatures w14:val="none"/>
        </w:rPr>
        <w:t>for educational purposes only</w:t>
      </w:r>
      <w:r w:rsidRPr="000D034A">
        <w:rPr>
          <w:rFonts w:ascii="Times New Roman" w:eastAsia="Times New Roman" w:hAnsi="Times New Roman" w:cs="Times New Roman"/>
          <w:kern w:val="0"/>
          <w:lang w:val="en-US"/>
          <w14:ligatures w14:val="none"/>
        </w:rPr>
        <w:t xml:space="preserve"> and </w:t>
      </w:r>
      <w:r w:rsidRPr="000D034A">
        <w:rPr>
          <w:rFonts w:ascii="Times New Roman" w:eastAsia="Times New Roman" w:hAnsi="Times New Roman" w:cs="Times New Roman"/>
          <w:b/>
          <w:bCs/>
          <w:kern w:val="0"/>
          <w:lang w:val="en-US"/>
          <w14:ligatures w14:val="none"/>
        </w:rPr>
        <w:t>does not constitute legal advice</w:t>
      </w:r>
      <w:r w:rsidRPr="000D034A">
        <w:rPr>
          <w:rFonts w:ascii="Times New Roman" w:eastAsia="Times New Roman" w:hAnsi="Times New Roman" w:cs="Times New Roman"/>
          <w:kern w:val="0"/>
          <w:lang w:val="en-US"/>
          <w14:ligatures w14:val="none"/>
        </w:rPr>
        <w:t>.</w:t>
      </w:r>
      <w:r w:rsidR="006575E3">
        <w:rPr>
          <w:rFonts w:ascii="Times New Roman" w:eastAsia="Times New Roman" w:hAnsi="Times New Roman" w:cs="Times New Roman"/>
          <w:kern w:val="0"/>
          <w:lang w:val="en-US"/>
          <w14:ligatures w14:val="none"/>
        </w:rPr>
        <w:t xml:space="preserve"> The same applies to eventual live</w:t>
      </w:r>
      <w:r w:rsidR="009E2B62">
        <w:rPr>
          <w:rFonts w:ascii="Times New Roman" w:eastAsia="Times New Roman" w:hAnsi="Times New Roman" w:cs="Times New Roman"/>
          <w:kern w:val="0"/>
          <w:lang w:val="en-US"/>
          <w14:ligatures w14:val="none"/>
        </w:rPr>
        <w:t xml:space="preserve"> or written</w:t>
      </w:r>
      <w:r w:rsidR="006575E3">
        <w:rPr>
          <w:rFonts w:ascii="Times New Roman" w:eastAsia="Times New Roman" w:hAnsi="Times New Roman" w:cs="Times New Roman"/>
          <w:kern w:val="0"/>
          <w:lang w:val="en-US"/>
          <w14:ligatures w14:val="none"/>
        </w:rPr>
        <w:t xml:space="preserve"> consultation in connection with the contents of the Guide.</w:t>
      </w:r>
    </w:p>
    <w:p w14:paraId="12FD983C" w14:textId="32292CC6" w:rsidR="000D034A" w:rsidRPr="000D034A"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No attorney-client relationship is established by purchasing or using the Guide</w:t>
      </w:r>
      <w:r w:rsidR="009E2B62">
        <w:rPr>
          <w:rFonts w:ascii="Times New Roman" w:eastAsia="Times New Roman" w:hAnsi="Times New Roman" w:cs="Times New Roman"/>
          <w:kern w:val="0"/>
          <w:lang w:val="en-US"/>
          <w14:ligatures w14:val="none"/>
        </w:rPr>
        <w:t>, nor in connection with any live or written consultation</w:t>
      </w:r>
      <w:r w:rsidRPr="000D034A">
        <w:rPr>
          <w:rFonts w:ascii="Times New Roman" w:eastAsia="Times New Roman" w:hAnsi="Times New Roman" w:cs="Times New Roman"/>
          <w:kern w:val="0"/>
          <w:lang w:val="en-US"/>
          <w14:ligatures w14:val="none"/>
        </w:rPr>
        <w:t>.</w:t>
      </w:r>
    </w:p>
    <w:p w14:paraId="25C5F437" w14:textId="77777777" w:rsidR="000D034A" w:rsidRPr="000D034A" w:rsidRDefault="000D034A" w:rsidP="000D034A">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0D034A">
        <w:rPr>
          <w:rFonts w:ascii="Times New Roman" w:eastAsia="Times New Roman" w:hAnsi="Times New Roman" w:cs="Times New Roman"/>
          <w:b/>
          <w:bCs/>
          <w:kern w:val="0"/>
          <w:sz w:val="27"/>
          <w:szCs w:val="27"/>
          <w:lang w:val="en-US"/>
          <w14:ligatures w14:val="none"/>
        </w:rPr>
        <w:t>4. Accuracy of Information</w:t>
      </w:r>
    </w:p>
    <w:p w14:paraId="3636A139" w14:textId="77777777" w:rsidR="000D034A" w:rsidRPr="000D034A"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The information contained in the Guide was accurate and verified </w:t>
      </w:r>
      <w:r w:rsidRPr="000D034A">
        <w:rPr>
          <w:rFonts w:ascii="Times New Roman" w:eastAsia="Times New Roman" w:hAnsi="Times New Roman" w:cs="Times New Roman"/>
          <w:b/>
          <w:bCs/>
          <w:kern w:val="0"/>
          <w:lang w:val="en-US"/>
          <w14:ligatures w14:val="none"/>
        </w:rPr>
        <w:t>as of June 2025</w:t>
      </w:r>
      <w:r w:rsidRPr="000D034A">
        <w:rPr>
          <w:rFonts w:ascii="Times New Roman" w:eastAsia="Times New Roman" w:hAnsi="Times New Roman" w:cs="Times New Roman"/>
          <w:kern w:val="0"/>
          <w:lang w:val="en-US"/>
          <w14:ligatures w14:val="none"/>
        </w:rPr>
        <w:t xml:space="preserve">, the time of its release. The Guide is </w:t>
      </w:r>
      <w:r w:rsidRPr="000D034A">
        <w:rPr>
          <w:rFonts w:ascii="Times New Roman" w:eastAsia="Times New Roman" w:hAnsi="Times New Roman" w:cs="Times New Roman"/>
          <w:b/>
          <w:bCs/>
          <w:kern w:val="0"/>
          <w:lang w:val="en-US"/>
          <w14:ligatures w14:val="none"/>
        </w:rPr>
        <w:t>not updated</w:t>
      </w:r>
      <w:r w:rsidRPr="000D034A">
        <w:rPr>
          <w:rFonts w:ascii="Times New Roman" w:eastAsia="Times New Roman" w:hAnsi="Times New Roman" w:cs="Times New Roman"/>
          <w:kern w:val="0"/>
          <w:lang w:val="en-US"/>
          <w14:ligatures w14:val="none"/>
        </w:rPr>
        <w:t xml:space="preserve"> following changes in law, practice, exam procedure, prices of third-party services, or other circumstances.</w:t>
      </w:r>
    </w:p>
    <w:p w14:paraId="3D71CDBD" w14:textId="77777777" w:rsidR="00DB7288" w:rsidRPr="000D034A" w:rsidRDefault="00DB7288" w:rsidP="00DB7288">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0D034A">
        <w:rPr>
          <w:rFonts w:ascii="Times New Roman" w:eastAsia="Times New Roman" w:hAnsi="Times New Roman" w:cs="Times New Roman"/>
          <w:b/>
          <w:bCs/>
          <w:kern w:val="0"/>
          <w:sz w:val="27"/>
          <w:szCs w:val="27"/>
          <w:lang w:val="en-US"/>
          <w14:ligatures w14:val="none"/>
        </w:rPr>
        <w:t>5. Discounts and Third-Party References</w:t>
      </w:r>
    </w:p>
    <w:p w14:paraId="51EE9385" w14:textId="77777777" w:rsidR="00DB7288" w:rsidRPr="000D034A" w:rsidRDefault="00DB7288" w:rsidP="00DB7288">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Any discounts or promotional offers referenced in the Guide were valid at the time of writing. The Law Firm </w:t>
      </w:r>
      <w:r w:rsidRPr="000D034A">
        <w:rPr>
          <w:rFonts w:ascii="Times New Roman" w:eastAsia="Times New Roman" w:hAnsi="Times New Roman" w:cs="Times New Roman"/>
          <w:b/>
          <w:bCs/>
          <w:kern w:val="0"/>
          <w:lang w:val="en-US"/>
          <w14:ligatures w14:val="none"/>
        </w:rPr>
        <w:t>does not guarantee</w:t>
      </w:r>
      <w:r w:rsidRPr="000D034A">
        <w:rPr>
          <w:rFonts w:ascii="Times New Roman" w:eastAsia="Times New Roman" w:hAnsi="Times New Roman" w:cs="Times New Roman"/>
          <w:kern w:val="0"/>
          <w:lang w:val="en-US"/>
          <w14:ligatures w14:val="none"/>
        </w:rPr>
        <w:t xml:space="preserve"> that such discounts are still available at the time of purchase or use.</w:t>
      </w:r>
    </w:p>
    <w:p w14:paraId="2649BF59" w14:textId="77777777" w:rsidR="00804685" w:rsidRPr="00804685" w:rsidRDefault="00804685" w:rsidP="00804685">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804685">
        <w:rPr>
          <w:rFonts w:ascii="Times New Roman" w:eastAsia="Times New Roman" w:hAnsi="Times New Roman" w:cs="Times New Roman"/>
          <w:b/>
          <w:bCs/>
          <w:kern w:val="0"/>
          <w:sz w:val="27"/>
          <w:szCs w:val="27"/>
          <w:lang w:val="en-US"/>
          <w14:ligatures w14:val="none"/>
        </w:rPr>
        <w:t>6. Purchase Price and VAT</w:t>
      </w:r>
    </w:p>
    <w:p w14:paraId="763E70A0" w14:textId="70C3BE67" w:rsidR="00804685" w:rsidRDefault="00804685" w:rsidP="00804685">
      <w:pPr>
        <w:spacing w:before="100" w:beforeAutospacing="1" w:after="100" w:afterAutospacing="1" w:line="240" w:lineRule="auto"/>
        <w:rPr>
          <w:rFonts w:ascii="Times New Roman" w:eastAsia="Times New Roman" w:hAnsi="Times New Roman" w:cs="Times New Roman"/>
          <w:kern w:val="0"/>
          <w:lang w:val="en-US"/>
          <w14:ligatures w14:val="none"/>
        </w:rPr>
      </w:pPr>
      <w:r w:rsidRPr="00804685">
        <w:rPr>
          <w:rFonts w:ascii="Times New Roman" w:eastAsia="Times New Roman" w:hAnsi="Times New Roman" w:cs="Times New Roman"/>
          <w:kern w:val="0"/>
          <w:lang w:val="en-US"/>
          <w14:ligatures w14:val="none"/>
        </w:rPr>
        <w:t xml:space="preserve">The </w:t>
      </w:r>
      <w:r w:rsidRPr="00804685">
        <w:rPr>
          <w:rFonts w:ascii="Times New Roman" w:eastAsia="Times New Roman" w:hAnsi="Times New Roman" w:cs="Times New Roman"/>
          <w:b/>
          <w:bCs/>
          <w:kern w:val="0"/>
          <w:lang w:val="en-US"/>
          <w14:ligatures w14:val="none"/>
        </w:rPr>
        <w:t>net purchase price</w:t>
      </w:r>
      <w:r w:rsidRPr="00804685">
        <w:rPr>
          <w:rFonts w:ascii="Times New Roman" w:eastAsia="Times New Roman" w:hAnsi="Times New Roman" w:cs="Times New Roman"/>
          <w:kern w:val="0"/>
          <w:lang w:val="en-US"/>
          <w14:ligatures w14:val="none"/>
        </w:rPr>
        <w:t xml:space="preserve"> of the Guide is </w:t>
      </w:r>
      <w:r w:rsidRPr="00804685">
        <w:rPr>
          <w:rFonts w:ascii="Times New Roman" w:eastAsia="Times New Roman" w:hAnsi="Times New Roman" w:cs="Times New Roman"/>
          <w:b/>
          <w:bCs/>
          <w:kern w:val="0"/>
          <w:lang w:val="en-US"/>
          <w14:ligatures w14:val="none"/>
        </w:rPr>
        <w:t>EUR 100</w:t>
      </w:r>
      <w:r w:rsidRPr="00804685">
        <w:rPr>
          <w:rFonts w:ascii="Times New Roman" w:eastAsia="Times New Roman" w:hAnsi="Times New Roman" w:cs="Times New Roman"/>
          <w:kern w:val="0"/>
          <w:lang w:val="en-US"/>
          <w14:ligatures w14:val="none"/>
        </w:rPr>
        <w:t xml:space="preserve">, which shall be </w:t>
      </w:r>
      <w:r w:rsidRPr="00804685">
        <w:rPr>
          <w:rFonts w:ascii="Times New Roman" w:eastAsia="Times New Roman" w:hAnsi="Times New Roman" w:cs="Times New Roman"/>
          <w:b/>
          <w:bCs/>
          <w:kern w:val="0"/>
          <w:lang w:val="en-US"/>
          <w14:ligatures w14:val="none"/>
        </w:rPr>
        <w:t>increased by 27% Hungarian value added tax (VAT)</w:t>
      </w:r>
      <w:r w:rsidRPr="00804685">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804685">
        <w:rPr>
          <w:rFonts w:ascii="Times New Roman" w:eastAsia="Times New Roman" w:hAnsi="Times New Roman" w:cs="Times New Roman"/>
          <w:kern w:val="0"/>
          <w:lang w:val="en-US"/>
          <w14:ligatures w14:val="none"/>
        </w:rPr>
        <w:t xml:space="preserve">This VAT applies </w:t>
      </w:r>
      <w:r w:rsidRPr="00804685">
        <w:rPr>
          <w:rFonts w:ascii="Times New Roman" w:eastAsia="Times New Roman" w:hAnsi="Times New Roman" w:cs="Times New Roman"/>
          <w:b/>
          <w:bCs/>
          <w:kern w:val="0"/>
          <w:lang w:val="en-US"/>
          <w14:ligatures w14:val="none"/>
        </w:rPr>
        <w:t>regardless of the buyer’s tax residency</w:t>
      </w:r>
      <w:r w:rsidRPr="00804685">
        <w:rPr>
          <w:rFonts w:ascii="Times New Roman" w:eastAsia="Times New Roman" w:hAnsi="Times New Roman" w:cs="Times New Roman"/>
          <w:kern w:val="0"/>
          <w:lang w:val="en-US"/>
          <w14:ligatures w14:val="none"/>
        </w:rPr>
        <w:t>.</w:t>
      </w:r>
    </w:p>
    <w:p w14:paraId="3B95E20D" w14:textId="1EEEA15C" w:rsidR="008A6F9C" w:rsidRPr="00804685" w:rsidRDefault="000E2CFE" w:rsidP="00804685">
      <w:pPr>
        <w:spacing w:before="100" w:beforeAutospacing="1" w:after="100" w:afterAutospacing="1" w:line="240" w:lineRule="auto"/>
        <w:rPr>
          <w:rFonts w:ascii="Times New Roman" w:eastAsia="Times New Roman" w:hAnsi="Times New Roman" w:cs="Times New Roman"/>
          <w:kern w:val="0"/>
          <w:lang w:val="en-US"/>
          <w14:ligatures w14:val="none"/>
        </w:rPr>
      </w:pPr>
      <w:r w:rsidRPr="000E2CFE">
        <w:rPr>
          <w:rFonts w:ascii="Times New Roman" w:eastAsia="Times New Roman" w:hAnsi="Times New Roman" w:cs="Times New Roman"/>
          <w:kern w:val="0"/>
          <w:lang w:val="en-US"/>
          <w14:ligatures w14:val="none"/>
        </w:rPr>
        <w:lastRenderedPageBreak/>
        <w:t xml:space="preserve">The fee for any </w:t>
      </w:r>
      <w:r w:rsidRPr="000E2CFE">
        <w:rPr>
          <w:rFonts w:ascii="Times New Roman" w:eastAsia="Times New Roman" w:hAnsi="Times New Roman" w:cs="Times New Roman"/>
          <w:b/>
          <w:bCs/>
          <w:kern w:val="0"/>
          <w:lang w:val="en-US"/>
          <w14:ligatures w14:val="none"/>
        </w:rPr>
        <w:t>written or live consultation</w:t>
      </w:r>
      <w:r w:rsidRPr="000E2CFE">
        <w:rPr>
          <w:rFonts w:ascii="Times New Roman" w:eastAsia="Times New Roman" w:hAnsi="Times New Roman" w:cs="Times New Roman"/>
          <w:kern w:val="0"/>
          <w:lang w:val="en-US"/>
          <w14:ligatures w14:val="none"/>
        </w:rPr>
        <w:t xml:space="preserve"> shall be determined individually by the parties on a case-by-case </w:t>
      </w:r>
      <w:proofErr w:type="gramStart"/>
      <w:r w:rsidRPr="000E2CFE">
        <w:rPr>
          <w:rFonts w:ascii="Times New Roman" w:eastAsia="Times New Roman" w:hAnsi="Times New Roman" w:cs="Times New Roman"/>
          <w:kern w:val="0"/>
          <w:lang w:val="en-US"/>
          <w14:ligatures w14:val="none"/>
        </w:rPr>
        <w:t>basis.</w:t>
      </w:r>
      <w:r w:rsidR="008A6F9C">
        <w:rPr>
          <w:rFonts w:ascii="Times New Roman" w:eastAsia="Times New Roman" w:hAnsi="Times New Roman" w:cs="Times New Roman"/>
          <w:kern w:val="0"/>
          <w:lang w:val="en-US"/>
          <w14:ligatures w14:val="none"/>
        </w:rPr>
        <w:t>.</w:t>
      </w:r>
      <w:proofErr w:type="gramEnd"/>
    </w:p>
    <w:p w14:paraId="3B3DBEB8" w14:textId="06CB0029" w:rsidR="000D034A" w:rsidRPr="000D034A" w:rsidRDefault="00DB7288" w:rsidP="000D034A">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804685">
        <w:rPr>
          <w:rFonts w:ascii="Times New Roman" w:eastAsia="Times New Roman" w:hAnsi="Times New Roman" w:cs="Times New Roman"/>
          <w:b/>
          <w:bCs/>
          <w:kern w:val="0"/>
          <w:sz w:val="27"/>
          <w:szCs w:val="27"/>
          <w:lang w:val="en-US"/>
          <w14:ligatures w14:val="none"/>
        </w:rPr>
        <w:t>7</w:t>
      </w:r>
      <w:r w:rsidR="000D034A" w:rsidRPr="000D034A">
        <w:rPr>
          <w:rFonts w:ascii="Times New Roman" w:eastAsia="Times New Roman" w:hAnsi="Times New Roman" w:cs="Times New Roman"/>
          <w:b/>
          <w:bCs/>
          <w:kern w:val="0"/>
          <w:sz w:val="27"/>
          <w:szCs w:val="27"/>
          <w:lang w:val="en-US"/>
          <w14:ligatures w14:val="none"/>
        </w:rPr>
        <w:t>. Limitation of Liability</w:t>
      </w:r>
    </w:p>
    <w:p w14:paraId="4ACA7B26" w14:textId="77777777" w:rsidR="000D034A" w:rsidRPr="000D034A"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The Law Firm </w:t>
      </w:r>
      <w:r w:rsidRPr="000D034A">
        <w:rPr>
          <w:rFonts w:ascii="Times New Roman" w:eastAsia="Times New Roman" w:hAnsi="Times New Roman" w:cs="Times New Roman"/>
          <w:b/>
          <w:bCs/>
          <w:kern w:val="0"/>
          <w:lang w:val="en-US"/>
          <w14:ligatures w14:val="none"/>
        </w:rPr>
        <w:t>does not guarantee any outcome</w:t>
      </w:r>
      <w:r w:rsidRPr="000D034A">
        <w:rPr>
          <w:rFonts w:ascii="Times New Roman" w:eastAsia="Times New Roman" w:hAnsi="Times New Roman" w:cs="Times New Roman"/>
          <w:kern w:val="0"/>
          <w:lang w:val="en-US"/>
          <w14:ligatures w14:val="none"/>
        </w:rPr>
        <w:t xml:space="preserve"> (including, but not limited to, passing the California Bar Examination).</w:t>
      </w:r>
      <w:r w:rsidRPr="000D034A">
        <w:rPr>
          <w:rFonts w:ascii="Times New Roman" w:eastAsia="Times New Roman" w:hAnsi="Times New Roman" w:cs="Times New Roman"/>
          <w:kern w:val="0"/>
          <w:lang w:val="en-US"/>
          <w14:ligatures w14:val="none"/>
        </w:rPr>
        <w:br/>
        <w:t xml:space="preserve">To the maximum extent permitted by applicable law, the Law Firm </w:t>
      </w:r>
      <w:r w:rsidRPr="000D034A">
        <w:rPr>
          <w:rFonts w:ascii="Times New Roman" w:eastAsia="Times New Roman" w:hAnsi="Times New Roman" w:cs="Times New Roman"/>
          <w:b/>
          <w:bCs/>
          <w:kern w:val="0"/>
          <w:lang w:val="en-US"/>
          <w14:ligatures w14:val="none"/>
        </w:rPr>
        <w:t>excludes all liability</w:t>
      </w:r>
      <w:r w:rsidRPr="000D034A">
        <w:rPr>
          <w:rFonts w:ascii="Times New Roman" w:eastAsia="Times New Roman" w:hAnsi="Times New Roman" w:cs="Times New Roman"/>
          <w:kern w:val="0"/>
          <w:lang w:val="en-US"/>
          <w14:ligatures w14:val="none"/>
        </w:rPr>
        <w:t xml:space="preserve"> for any direct, indirect, incidental, or consequential </w:t>
      </w:r>
      <w:proofErr w:type="gramStart"/>
      <w:r w:rsidRPr="000D034A">
        <w:rPr>
          <w:rFonts w:ascii="Times New Roman" w:eastAsia="Times New Roman" w:hAnsi="Times New Roman" w:cs="Times New Roman"/>
          <w:kern w:val="0"/>
          <w:lang w:val="en-US"/>
          <w14:ligatures w14:val="none"/>
        </w:rPr>
        <w:t>damages</w:t>
      </w:r>
      <w:proofErr w:type="gramEnd"/>
      <w:r w:rsidRPr="000D034A">
        <w:rPr>
          <w:rFonts w:ascii="Times New Roman" w:eastAsia="Times New Roman" w:hAnsi="Times New Roman" w:cs="Times New Roman"/>
          <w:kern w:val="0"/>
          <w:lang w:val="en-US"/>
          <w14:ligatures w14:val="none"/>
        </w:rPr>
        <w:t xml:space="preserve"> arising from or in connection with the use of the Guide.</w:t>
      </w:r>
      <w:r w:rsidRPr="000D034A">
        <w:rPr>
          <w:rFonts w:ascii="Times New Roman" w:eastAsia="Times New Roman" w:hAnsi="Times New Roman" w:cs="Times New Roman"/>
          <w:kern w:val="0"/>
          <w:lang w:val="en-US"/>
          <w14:ligatures w14:val="none"/>
        </w:rPr>
        <w:br/>
        <w:t xml:space="preserve">In any event, the buyer’s </w:t>
      </w:r>
      <w:r w:rsidRPr="000D034A">
        <w:rPr>
          <w:rFonts w:ascii="Times New Roman" w:eastAsia="Times New Roman" w:hAnsi="Times New Roman" w:cs="Times New Roman"/>
          <w:b/>
          <w:bCs/>
          <w:kern w:val="0"/>
          <w:lang w:val="en-US"/>
          <w14:ligatures w14:val="none"/>
        </w:rPr>
        <w:t>sole and exclusive remedy</w:t>
      </w:r>
      <w:r w:rsidRPr="000D034A">
        <w:rPr>
          <w:rFonts w:ascii="Times New Roman" w:eastAsia="Times New Roman" w:hAnsi="Times New Roman" w:cs="Times New Roman"/>
          <w:kern w:val="0"/>
          <w:lang w:val="en-US"/>
          <w14:ligatures w14:val="none"/>
        </w:rPr>
        <w:t xml:space="preserve"> shall be the </w:t>
      </w:r>
      <w:r w:rsidRPr="000D034A">
        <w:rPr>
          <w:rFonts w:ascii="Times New Roman" w:eastAsia="Times New Roman" w:hAnsi="Times New Roman" w:cs="Times New Roman"/>
          <w:b/>
          <w:bCs/>
          <w:kern w:val="0"/>
          <w:lang w:val="en-US"/>
          <w14:ligatures w14:val="none"/>
        </w:rPr>
        <w:t>reimbursement of the purchase price</w:t>
      </w:r>
      <w:r w:rsidRPr="000D034A">
        <w:rPr>
          <w:rFonts w:ascii="Times New Roman" w:eastAsia="Times New Roman" w:hAnsi="Times New Roman" w:cs="Times New Roman"/>
          <w:kern w:val="0"/>
          <w:lang w:val="en-US"/>
          <w14:ligatures w14:val="none"/>
        </w:rPr>
        <w:t xml:space="preserve"> of the Guide.</w:t>
      </w:r>
    </w:p>
    <w:p w14:paraId="54E346A2" w14:textId="72357CDF" w:rsidR="000D034A" w:rsidRPr="000D034A" w:rsidRDefault="00DB7288" w:rsidP="000D034A">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804685">
        <w:rPr>
          <w:rFonts w:ascii="Times New Roman" w:eastAsia="Times New Roman" w:hAnsi="Times New Roman" w:cs="Times New Roman"/>
          <w:b/>
          <w:bCs/>
          <w:kern w:val="0"/>
          <w:sz w:val="27"/>
          <w:szCs w:val="27"/>
          <w:lang w:val="en-US"/>
          <w14:ligatures w14:val="none"/>
        </w:rPr>
        <w:t>8</w:t>
      </w:r>
      <w:r w:rsidR="000D034A" w:rsidRPr="000D034A">
        <w:rPr>
          <w:rFonts w:ascii="Times New Roman" w:eastAsia="Times New Roman" w:hAnsi="Times New Roman" w:cs="Times New Roman"/>
          <w:b/>
          <w:bCs/>
          <w:kern w:val="0"/>
          <w:sz w:val="27"/>
          <w:szCs w:val="27"/>
          <w:lang w:val="en-US"/>
          <w14:ligatures w14:val="none"/>
        </w:rPr>
        <w:t>. Limitation Period</w:t>
      </w:r>
    </w:p>
    <w:p w14:paraId="2E1988EC" w14:textId="77777777" w:rsidR="000D034A" w:rsidRPr="000D034A"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The </w:t>
      </w:r>
      <w:r w:rsidRPr="000D034A">
        <w:rPr>
          <w:rFonts w:ascii="Times New Roman" w:eastAsia="Times New Roman" w:hAnsi="Times New Roman" w:cs="Times New Roman"/>
          <w:b/>
          <w:bCs/>
          <w:kern w:val="0"/>
          <w:lang w:val="en-US"/>
          <w14:ligatures w14:val="none"/>
        </w:rPr>
        <w:t xml:space="preserve">limitation period for </w:t>
      </w:r>
      <w:proofErr w:type="gramStart"/>
      <w:r w:rsidRPr="000D034A">
        <w:rPr>
          <w:rFonts w:ascii="Times New Roman" w:eastAsia="Times New Roman" w:hAnsi="Times New Roman" w:cs="Times New Roman"/>
          <w:b/>
          <w:bCs/>
          <w:kern w:val="0"/>
          <w:lang w:val="en-US"/>
          <w14:ligatures w14:val="none"/>
        </w:rPr>
        <w:t>any and all</w:t>
      </w:r>
      <w:proofErr w:type="gramEnd"/>
      <w:r w:rsidRPr="000D034A">
        <w:rPr>
          <w:rFonts w:ascii="Times New Roman" w:eastAsia="Times New Roman" w:hAnsi="Times New Roman" w:cs="Times New Roman"/>
          <w:b/>
          <w:bCs/>
          <w:kern w:val="0"/>
          <w:lang w:val="en-US"/>
          <w14:ligatures w14:val="none"/>
        </w:rPr>
        <w:t xml:space="preserve"> claims</w:t>
      </w:r>
      <w:r w:rsidRPr="000D034A">
        <w:rPr>
          <w:rFonts w:ascii="Times New Roman" w:eastAsia="Times New Roman" w:hAnsi="Times New Roman" w:cs="Times New Roman"/>
          <w:kern w:val="0"/>
          <w:lang w:val="en-US"/>
          <w14:ligatures w14:val="none"/>
        </w:rPr>
        <w:t xml:space="preserve"> arising from or in connection with these General Terms or the use of the Guide is </w:t>
      </w:r>
      <w:r w:rsidRPr="000D034A">
        <w:rPr>
          <w:rFonts w:ascii="Times New Roman" w:eastAsia="Times New Roman" w:hAnsi="Times New Roman" w:cs="Times New Roman"/>
          <w:b/>
          <w:bCs/>
          <w:kern w:val="0"/>
          <w:lang w:val="en-US"/>
          <w14:ligatures w14:val="none"/>
        </w:rPr>
        <w:t>contractually limited to six (6) months</w:t>
      </w:r>
      <w:r w:rsidRPr="000D034A">
        <w:rPr>
          <w:rFonts w:ascii="Times New Roman" w:eastAsia="Times New Roman" w:hAnsi="Times New Roman" w:cs="Times New Roman"/>
          <w:kern w:val="0"/>
          <w:lang w:val="en-US"/>
          <w14:ligatures w14:val="none"/>
        </w:rPr>
        <w:t xml:space="preserve"> from the date of purchase.</w:t>
      </w:r>
    </w:p>
    <w:p w14:paraId="24A697EF" w14:textId="07143C22" w:rsidR="000D034A" w:rsidRPr="000D034A" w:rsidRDefault="00DB7288" w:rsidP="000D034A">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804685">
        <w:rPr>
          <w:rFonts w:ascii="Times New Roman" w:eastAsia="Times New Roman" w:hAnsi="Times New Roman" w:cs="Times New Roman"/>
          <w:b/>
          <w:bCs/>
          <w:kern w:val="0"/>
          <w:sz w:val="27"/>
          <w:szCs w:val="27"/>
          <w:lang w:val="en-US"/>
          <w14:ligatures w14:val="none"/>
        </w:rPr>
        <w:t>9</w:t>
      </w:r>
      <w:r w:rsidR="000D034A" w:rsidRPr="000D034A">
        <w:rPr>
          <w:rFonts w:ascii="Times New Roman" w:eastAsia="Times New Roman" w:hAnsi="Times New Roman" w:cs="Times New Roman"/>
          <w:b/>
          <w:bCs/>
          <w:kern w:val="0"/>
          <w:sz w:val="27"/>
          <w:szCs w:val="27"/>
          <w:lang w:val="en-US"/>
          <w14:ligatures w14:val="none"/>
        </w:rPr>
        <w:t>. Declaration of Professional Purpose – No Consumer Status</w:t>
      </w:r>
    </w:p>
    <w:p w14:paraId="261F6944" w14:textId="77777777" w:rsidR="000D034A" w:rsidRPr="00804685" w:rsidRDefault="000D034A"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0D034A">
        <w:rPr>
          <w:rFonts w:ascii="Times New Roman" w:eastAsia="Times New Roman" w:hAnsi="Times New Roman" w:cs="Times New Roman"/>
          <w:kern w:val="0"/>
          <w:lang w:val="en-US"/>
          <w14:ligatures w14:val="none"/>
        </w:rPr>
        <w:t xml:space="preserve">By completing the purchase, the buyer </w:t>
      </w:r>
      <w:r w:rsidRPr="000D034A">
        <w:rPr>
          <w:rFonts w:ascii="Times New Roman" w:eastAsia="Times New Roman" w:hAnsi="Times New Roman" w:cs="Times New Roman"/>
          <w:b/>
          <w:bCs/>
          <w:kern w:val="0"/>
          <w:lang w:val="en-US"/>
          <w14:ligatures w14:val="none"/>
        </w:rPr>
        <w:t>expressly declares</w:t>
      </w:r>
      <w:r w:rsidRPr="000D034A">
        <w:rPr>
          <w:rFonts w:ascii="Times New Roman" w:eastAsia="Times New Roman" w:hAnsi="Times New Roman" w:cs="Times New Roman"/>
          <w:kern w:val="0"/>
          <w:lang w:val="en-US"/>
          <w14:ligatures w14:val="none"/>
        </w:rPr>
        <w:t xml:space="preserve"> that the Guide is purchased for </w:t>
      </w:r>
      <w:r w:rsidRPr="000D034A">
        <w:rPr>
          <w:rFonts w:ascii="Times New Roman" w:eastAsia="Times New Roman" w:hAnsi="Times New Roman" w:cs="Times New Roman"/>
          <w:b/>
          <w:bCs/>
          <w:kern w:val="0"/>
          <w:lang w:val="en-US"/>
          <w14:ligatures w14:val="none"/>
        </w:rPr>
        <w:t>professional purposes</w:t>
      </w:r>
      <w:r w:rsidRPr="000D034A">
        <w:rPr>
          <w:rFonts w:ascii="Times New Roman" w:eastAsia="Times New Roman" w:hAnsi="Times New Roman" w:cs="Times New Roman"/>
          <w:kern w:val="0"/>
          <w:lang w:val="en-US"/>
          <w14:ligatures w14:val="none"/>
        </w:rPr>
        <w:t xml:space="preserve">, namely, by or on behalf of </w:t>
      </w:r>
      <w:r w:rsidRPr="000D034A">
        <w:rPr>
          <w:rFonts w:ascii="Times New Roman" w:eastAsia="Times New Roman" w:hAnsi="Times New Roman" w:cs="Times New Roman"/>
          <w:b/>
          <w:bCs/>
          <w:kern w:val="0"/>
          <w:lang w:val="en-US"/>
          <w14:ligatures w14:val="none"/>
        </w:rPr>
        <w:t>attorneys preparing to take the California Bar Examination</w:t>
      </w:r>
      <w:r w:rsidRPr="000D034A">
        <w:rPr>
          <w:rFonts w:ascii="Times New Roman" w:eastAsia="Times New Roman" w:hAnsi="Times New Roman" w:cs="Times New Roman"/>
          <w:kern w:val="0"/>
          <w:lang w:val="en-US"/>
          <w14:ligatures w14:val="none"/>
        </w:rPr>
        <w:t>.</w:t>
      </w:r>
      <w:r w:rsidRPr="000D034A">
        <w:rPr>
          <w:rFonts w:ascii="Times New Roman" w:eastAsia="Times New Roman" w:hAnsi="Times New Roman" w:cs="Times New Roman"/>
          <w:kern w:val="0"/>
          <w:lang w:val="en-US"/>
          <w14:ligatures w14:val="none"/>
        </w:rPr>
        <w:br/>
        <w:t xml:space="preserve">Accordingly, the buyer acknowledges that they </w:t>
      </w:r>
      <w:r w:rsidRPr="000D034A">
        <w:rPr>
          <w:rFonts w:ascii="Times New Roman" w:eastAsia="Times New Roman" w:hAnsi="Times New Roman" w:cs="Times New Roman"/>
          <w:b/>
          <w:bCs/>
          <w:kern w:val="0"/>
          <w:lang w:val="en-US"/>
          <w14:ligatures w14:val="none"/>
        </w:rPr>
        <w:t>do not qualify as a "consumer"</w:t>
      </w:r>
      <w:r w:rsidRPr="000D034A">
        <w:rPr>
          <w:rFonts w:ascii="Times New Roman" w:eastAsia="Times New Roman" w:hAnsi="Times New Roman" w:cs="Times New Roman"/>
          <w:kern w:val="0"/>
          <w:lang w:val="en-US"/>
          <w14:ligatures w14:val="none"/>
        </w:rPr>
        <w:t xml:space="preserve"> under </w:t>
      </w:r>
      <w:r w:rsidRPr="000D034A">
        <w:rPr>
          <w:rFonts w:ascii="Times New Roman" w:eastAsia="Times New Roman" w:hAnsi="Times New Roman" w:cs="Times New Roman"/>
          <w:b/>
          <w:bCs/>
          <w:kern w:val="0"/>
          <w:lang w:val="en-US"/>
          <w14:ligatures w14:val="none"/>
        </w:rPr>
        <w:t>Section 8:1 (1) 3. of Act V of 2013 on the Hungarian Civil Code</w:t>
      </w:r>
      <w:r w:rsidRPr="000D034A">
        <w:rPr>
          <w:rFonts w:ascii="Times New Roman" w:eastAsia="Times New Roman" w:hAnsi="Times New Roman" w:cs="Times New Roman"/>
          <w:kern w:val="0"/>
          <w:lang w:val="en-US"/>
          <w14:ligatures w14:val="none"/>
        </w:rPr>
        <w:t>, which defines a consumer as “a natural person acting outside their trade, profession or business activity.”</w:t>
      </w:r>
    </w:p>
    <w:p w14:paraId="157257C8" w14:textId="129BB4DA" w:rsidR="00054372" w:rsidRPr="00054372" w:rsidRDefault="00DB7288" w:rsidP="00054372">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804685">
        <w:rPr>
          <w:rFonts w:ascii="Times New Roman" w:eastAsia="Times New Roman" w:hAnsi="Times New Roman" w:cs="Times New Roman"/>
          <w:b/>
          <w:bCs/>
          <w:kern w:val="0"/>
          <w:sz w:val="27"/>
          <w:szCs w:val="27"/>
          <w:lang w:val="en-US"/>
          <w14:ligatures w14:val="none"/>
        </w:rPr>
        <w:t>10</w:t>
      </w:r>
      <w:r w:rsidR="00054372" w:rsidRPr="00054372">
        <w:rPr>
          <w:rFonts w:ascii="Times New Roman" w:eastAsia="Times New Roman" w:hAnsi="Times New Roman" w:cs="Times New Roman"/>
          <w:b/>
          <w:bCs/>
          <w:kern w:val="0"/>
          <w:sz w:val="27"/>
          <w:szCs w:val="27"/>
          <w:lang w:val="en-US"/>
          <w14:ligatures w14:val="none"/>
        </w:rPr>
        <w:t>. Non-Assignment</w:t>
      </w:r>
    </w:p>
    <w:p w14:paraId="5E9E57C4" w14:textId="77777777" w:rsidR="00054372" w:rsidRPr="00054372" w:rsidRDefault="00054372" w:rsidP="00054372">
      <w:pPr>
        <w:spacing w:before="100" w:beforeAutospacing="1" w:after="100" w:afterAutospacing="1" w:line="240" w:lineRule="auto"/>
        <w:rPr>
          <w:rFonts w:ascii="Times New Roman" w:eastAsia="Times New Roman" w:hAnsi="Times New Roman" w:cs="Times New Roman"/>
          <w:kern w:val="0"/>
          <w:lang w:val="en-US"/>
          <w14:ligatures w14:val="none"/>
        </w:rPr>
      </w:pPr>
      <w:r w:rsidRPr="00054372">
        <w:rPr>
          <w:rFonts w:ascii="Times New Roman" w:eastAsia="Times New Roman" w:hAnsi="Times New Roman" w:cs="Times New Roman"/>
          <w:kern w:val="0"/>
          <w:lang w:val="en-US"/>
          <w14:ligatures w14:val="none"/>
        </w:rPr>
        <w:t xml:space="preserve">The buyer </w:t>
      </w:r>
      <w:r w:rsidRPr="00054372">
        <w:rPr>
          <w:rFonts w:ascii="Times New Roman" w:eastAsia="Times New Roman" w:hAnsi="Times New Roman" w:cs="Times New Roman"/>
          <w:b/>
          <w:bCs/>
          <w:kern w:val="0"/>
          <w:lang w:val="en-US"/>
          <w14:ligatures w14:val="none"/>
        </w:rPr>
        <w:t>may not assign, transfer, or delegate</w:t>
      </w:r>
      <w:r w:rsidRPr="00054372">
        <w:rPr>
          <w:rFonts w:ascii="Times New Roman" w:eastAsia="Times New Roman" w:hAnsi="Times New Roman" w:cs="Times New Roman"/>
          <w:kern w:val="0"/>
          <w:lang w:val="en-US"/>
          <w14:ligatures w14:val="none"/>
        </w:rPr>
        <w:t xml:space="preserve"> any of their rights or obligations arising from the purchase of the Guide—</w:t>
      </w:r>
      <w:r w:rsidRPr="00054372">
        <w:rPr>
          <w:rFonts w:ascii="Times New Roman" w:eastAsia="Times New Roman" w:hAnsi="Times New Roman" w:cs="Times New Roman"/>
          <w:b/>
          <w:bCs/>
          <w:kern w:val="0"/>
          <w:lang w:val="en-US"/>
          <w14:ligatures w14:val="none"/>
        </w:rPr>
        <w:t>whether in whole or in part</w:t>
      </w:r>
      <w:r w:rsidRPr="00054372">
        <w:rPr>
          <w:rFonts w:ascii="Times New Roman" w:eastAsia="Times New Roman" w:hAnsi="Times New Roman" w:cs="Times New Roman"/>
          <w:kern w:val="0"/>
          <w:lang w:val="en-US"/>
          <w14:ligatures w14:val="none"/>
        </w:rPr>
        <w:t xml:space="preserve">, and whether </w:t>
      </w:r>
      <w:r w:rsidRPr="00054372">
        <w:rPr>
          <w:rFonts w:ascii="Times New Roman" w:eastAsia="Times New Roman" w:hAnsi="Times New Roman" w:cs="Times New Roman"/>
          <w:b/>
          <w:bCs/>
          <w:kern w:val="0"/>
          <w:lang w:val="en-US"/>
          <w14:ligatures w14:val="none"/>
        </w:rPr>
        <w:t>directly or indirectly</w:t>
      </w:r>
      <w:r w:rsidRPr="00054372">
        <w:rPr>
          <w:rFonts w:ascii="Times New Roman" w:eastAsia="Times New Roman" w:hAnsi="Times New Roman" w:cs="Times New Roman"/>
          <w:kern w:val="0"/>
          <w:lang w:val="en-US"/>
          <w14:ligatures w14:val="none"/>
        </w:rPr>
        <w:t xml:space="preserve">, including by way of </w:t>
      </w:r>
      <w:r w:rsidRPr="00054372">
        <w:rPr>
          <w:rFonts w:ascii="Times New Roman" w:eastAsia="Times New Roman" w:hAnsi="Times New Roman" w:cs="Times New Roman"/>
          <w:b/>
          <w:bCs/>
          <w:kern w:val="0"/>
          <w:lang w:val="en-US"/>
          <w14:ligatures w14:val="none"/>
        </w:rPr>
        <w:t>merger, acquisition, or contribution to a joint venture</w:t>
      </w:r>
      <w:r w:rsidRPr="00054372">
        <w:rPr>
          <w:rFonts w:ascii="Times New Roman" w:eastAsia="Times New Roman" w:hAnsi="Times New Roman" w:cs="Times New Roman"/>
          <w:kern w:val="0"/>
          <w:lang w:val="en-US"/>
          <w14:ligatures w14:val="none"/>
        </w:rPr>
        <w:t>—</w:t>
      </w:r>
      <w:r w:rsidRPr="00054372">
        <w:rPr>
          <w:rFonts w:ascii="Times New Roman" w:eastAsia="Times New Roman" w:hAnsi="Times New Roman" w:cs="Times New Roman"/>
          <w:b/>
          <w:bCs/>
          <w:kern w:val="0"/>
          <w:lang w:val="en-US"/>
          <w14:ligatures w14:val="none"/>
        </w:rPr>
        <w:t>without the prior written consent</w:t>
      </w:r>
      <w:r w:rsidRPr="00054372">
        <w:rPr>
          <w:rFonts w:ascii="Times New Roman" w:eastAsia="Times New Roman" w:hAnsi="Times New Roman" w:cs="Times New Roman"/>
          <w:kern w:val="0"/>
          <w:lang w:val="en-US"/>
          <w14:ligatures w14:val="none"/>
        </w:rPr>
        <w:t xml:space="preserve"> of the Law Firm.</w:t>
      </w:r>
      <w:r w:rsidRPr="00054372">
        <w:rPr>
          <w:rFonts w:ascii="Times New Roman" w:eastAsia="Times New Roman" w:hAnsi="Times New Roman" w:cs="Times New Roman"/>
          <w:kern w:val="0"/>
          <w:lang w:val="en-US"/>
          <w14:ligatures w14:val="none"/>
        </w:rPr>
        <w:br/>
        <w:t xml:space="preserve">Any such attempted assignment or transfer without prior written consent shall be </w:t>
      </w:r>
      <w:r w:rsidRPr="00054372">
        <w:rPr>
          <w:rFonts w:ascii="Times New Roman" w:eastAsia="Times New Roman" w:hAnsi="Times New Roman" w:cs="Times New Roman"/>
          <w:b/>
          <w:bCs/>
          <w:kern w:val="0"/>
          <w:lang w:val="en-US"/>
          <w14:ligatures w14:val="none"/>
        </w:rPr>
        <w:t>null and void</w:t>
      </w:r>
      <w:r w:rsidRPr="00054372">
        <w:rPr>
          <w:rFonts w:ascii="Times New Roman" w:eastAsia="Times New Roman" w:hAnsi="Times New Roman" w:cs="Times New Roman"/>
          <w:kern w:val="0"/>
          <w:lang w:val="en-US"/>
          <w14:ligatures w14:val="none"/>
        </w:rPr>
        <w:t>.</w:t>
      </w:r>
    </w:p>
    <w:p w14:paraId="3EAC7C14" w14:textId="5C48A572" w:rsidR="000C01A5" w:rsidRPr="000D034A" w:rsidRDefault="00DB7288" w:rsidP="000C01A5">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804685">
        <w:rPr>
          <w:rFonts w:ascii="Times New Roman" w:eastAsia="Times New Roman" w:hAnsi="Times New Roman" w:cs="Times New Roman"/>
          <w:b/>
          <w:bCs/>
          <w:kern w:val="0"/>
          <w:sz w:val="27"/>
          <w:szCs w:val="27"/>
          <w:lang w:val="en-US"/>
          <w14:ligatures w14:val="none"/>
        </w:rPr>
        <w:t>11</w:t>
      </w:r>
      <w:r w:rsidR="000C01A5" w:rsidRPr="000D034A">
        <w:rPr>
          <w:rFonts w:ascii="Times New Roman" w:eastAsia="Times New Roman" w:hAnsi="Times New Roman" w:cs="Times New Roman"/>
          <w:b/>
          <w:bCs/>
          <w:kern w:val="0"/>
          <w:sz w:val="27"/>
          <w:szCs w:val="27"/>
          <w:lang w:val="en-US"/>
          <w14:ligatures w14:val="none"/>
        </w:rPr>
        <w:t xml:space="preserve">. </w:t>
      </w:r>
      <w:r w:rsidR="00054372" w:rsidRPr="00804685">
        <w:rPr>
          <w:rFonts w:ascii="Times New Roman" w:eastAsia="Times New Roman" w:hAnsi="Times New Roman" w:cs="Times New Roman"/>
          <w:b/>
          <w:bCs/>
          <w:kern w:val="0"/>
          <w:sz w:val="27"/>
          <w:szCs w:val="27"/>
          <w:lang w:val="en-US"/>
          <w14:ligatures w14:val="none"/>
        </w:rPr>
        <w:t>Governing Law, Arbitration</w:t>
      </w:r>
    </w:p>
    <w:p w14:paraId="20079C60" w14:textId="732C4777" w:rsidR="000C01A5" w:rsidRPr="000D034A" w:rsidRDefault="000C01A5" w:rsidP="000D034A">
      <w:pPr>
        <w:spacing w:before="100" w:beforeAutospacing="1" w:after="100" w:afterAutospacing="1" w:line="240" w:lineRule="auto"/>
        <w:rPr>
          <w:rFonts w:ascii="Times New Roman" w:eastAsia="Times New Roman" w:hAnsi="Times New Roman" w:cs="Times New Roman"/>
          <w:kern w:val="0"/>
          <w:lang w:val="en-US"/>
          <w14:ligatures w14:val="none"/>
        </w:rPr>
      </w:pPr>
      <w:r w:rsidRPr="00804685">
        <w:rPr>
          <w:rFonts w:ascii="Times New Roman" w:eastAsia="Times New Roman" w:hAnsi="Times New Roman" w:cs="Times New Roman"/>
          <w:kern w:val="0"/>
          <w:lang w:val="en-US"/>
          <w14:ligatures w14:val="none"/>
        </w:rPr>
        <w:t xml:space="preserve">In the event of any dispute arising from or in connection with the present contract, so especially with its breach, termination, validity or interpretation, the parties exclude the state court procedure and agree to submit the matter to the exclusive and final decision of the </w:t>
      </w:r>
      <w:r w:rsidRPr="00804685">
        <w:rPr>
          <w:rFonts w:ascii="Times New Roman" w:eastAsia="Times New Roman" w:hAnsi="Times New Roman" w:cs="Times New Roman"/>
          <w:b/>
          <w:bCs/>
          <w:kern w:val="0"/>
          <w:lang w:val="en-US"/>
          <w14:ligatures w14:val="none"/>
        </w:rPr>
        <w:t>Permanent Arbitration Court attached to the Hungarian Chamber of Commerce and Industry (Commercial Arbitration Court Budapest)</w:t>
      </w:r>
      <w:r w:rsidRPr="00804685">
        <w:rPr>
          <w:rFonts w:ascii="Times New Roman" w:eastAsia="Times New Roman" w:hAnsi="Times New Roman" w:cs="Times New Roman"/>
          <w:kern w:val="0"/>
          <w:lang w:val="en-US"/>
          <w14:ligatures w14:val="none"/>
        </w:rPr>
        <w:t xml:space="preserve">. The Arbitration Court proceeds in accordance with its own Rules of Proceedings supplemented </w:t>
      </w:r>
      <w:proofErr w:type="gramStart"/>
      <w:r w:rsidRPr="00804685">
        <w:rPr>
          <w:rFonts w:ascii="Times New Roman" w:eastAsia="Times New Roman" w:hAnsi="Times New Roman" w:cs="Times New Roman"/>
          <w:kern w:val="0"/>
          <w:lang w:val="en-US"/>
          <w14:ligatures w14:val="none"/>
        </w:rPr>
        <w:t>with</w:t>
      </w:r>
      <w:proofErr w:type="gramEnd"/>
      <w:r w:rsidRPr="00804685">
        <w:rPr>
          <w:rFonts w:ascii="Times New Roman" w:eastAsia="Times New Roman" w:hAnsi="Times New Roman" w:cs="Times New Roman"/>
          <w:kern w:val="0"/>
          <w:lang w:val="en-US"/>
          <w14:ligatures w14:val="none"/>
        </w:rPr>
        <w:t xml:space="preserve"> the provisions of the Sub-Rules of Expedited Proceedings. </w:t>
      </w:r>
      <w:r w:rsidRPr="00804685">
        <w:rPr>
          <w:rFonts w:ascii="Times New Roman" w:eastAsia="Times New Roman" w:hAnsi="Times New Roman" w:cs="Times New Roman"/>
          <w:b/>
          <w:bCs/>
          <w:kern w:val="0"/>
          <w:lang w:val="en-US"/>
          <w14:ligatures w14:val="none"/>
        </w:rPr>
        <w:t>The number of arbitrators shall be one and the language to be used in the arbitral proceedings shall be English</w:t>
      </w:r>
      <w:r w:rsidRPr="00804685">
        <w:rPr>
          <w:rFonts w:ascii="Times New Roman" w:eastAsia="Times New Roman" w:hAnsi="Times New Roman" w:cs="Times New Roman"/>
          <w:kern w:val="0"/>
          <w:lang w:val="en-US"/>
          <w14:ligatures w14:val="none"/>
        </w:rPr>
        <w:t xml:space="preserve">. The parties exclude the possibility of the retrial of the proceedings as regulated in Section IX of Act no. LX of 2017 on </w:t>
      </w:r>
      <w:r w:rsidRPr="00804685">
        <w:rPr>
          <w:rFonts w:ascii="Times New Roman" w:eastAsia="Times New Roman" w:hAnsi="Times New Roman" w:cs="Times New Roman"/>
          <w:kern w:val="0"/>
          <w:lang w:val="en-US"/>
          <w14:ligatures w14:val="none"/>
        </w:rPr>
        <w:lastRenderedPageBreak/>
        <w:t xml:space="preserve">Arbitration. </w:t>
      </w:r>
      <w:proofErr w:type="gramStart"/>
      <w:r w:rsidRPr="00804685">
        <w:rPr>
          <w:rFonts w:ascii="Times New Roman" w:eastAsia="Times New Roman" w:hAnsi="Times New Roman" w:cs="Times New Roman"/>
          <w:kern w:val="0"/>
          <w:lang w:val="en-US"/>
          <w14:ligatures w14:val="none"/>
        </w:rPr>
        <w:t>In order to</w:t>
      </w:r>
      <w:proofErr w:type="gramEnd"/>
      <w:r w:rsidRPr="00804685">
        <w:rPr>
          <w:rFonts w:ascii="Times New Roman" w:eastAsia="Times New Roman" w:hAnsi="Times New Roman" w:cs="Times New Roman"/>
          <w:kern w:val="0"/>
          <w:lang w:val="en-US"/>
          <w14:ligatures w14:val="none"/>
        </w:rPr>
        <w:t xml:space="preserve"> settle the legal </w:t>
      </w:r>
      <w:proofErr w:type="gramStart"/>
      <w:r w:rsidRPr="00804685">
        <w:rPr>
          <w:rFonts w:ascii="Times New Roman" w:eastAsia="Times New Roman" w:hAnsi="Times New Roman" w:cs="Times New Roman"/>
          <w:kern w:val="0"/>
          <w:lang w:val="en-US"/>
          <w14:ligatures w14:val="none"/>
        </w:rPr>
        <w:t>dispute</w:t>
      </w:r>
      <w:proofErr w:type="gramEnd"/>
      <w:r w:rsidRPr="00804685">
        <w:rPr>
          <w:rFonts w:ascii="Times New Roman" w:eastAsia="Times New Roman" w:hAnsi="Times New Roman" w:cs="Times New Roman"/>
          <w:kern w:val="0"/>
          <w:lang w:val="en-US"/>
          <w14:ligatures w14:val="none"/>
        </w:rPr>
        <w:t xml:space="preserve"> the </w:t>
      </w:r>
      <w:r w:rsidR="00054372" w:rsidRPr="00804685">
        <w:rPr>
          <w:rFonts w:ascii="Times New Roman" w:eastAsia="Times New Roman" w:hAnsi="Times New Roman" w:cs="Times New Roman"/>
          <w:b/>
          <w:bCs/>
          <w:kern w:val="0"/>
          <w:lang w:val="en-US"/>
          <w14:ligatures w14:val="none"/>
        </w:rPr>
        <w:t>Hungarian</w:t>
      </w:r>
      <w:r w:rsidRPr="00804685">
        <w:rPr>
          <w:rFonts w:ascii="Times New Roman" w:eastAsia="Times New Roman" w:hAnsi="Times New Roman" w:cs="Times New Roman"/>
          <w:b/>
          <w:bCs/>
          <w:kern w:val="0"/>
          <w:lang w:val="en-US"/>
          <w14:ligatures w14:val="none"/>
        </w:rPr>
        <w:t xml:space="preserve"> substantive law</w:t>
      </w:r>
      <w:r w:rsidRPr="00804685">
        <w:rPr>
          <w:rFonts w:ascii="Times New Roman" w:eastAsia="Times New Roman" w:hAnsi="Times New Roman" w:cs="Times New Roman"/>
          <w:kern w:val="0"/>
          <w:lang w:val="en-US"/>
          <w14:ligatures w14:val="none"/>
        </w:rPr>
        <w:t xml:space="preserve"> shall apply, excluding its private international law rules</w:t>
      </w:r>
    </w:p>
    <w:p w14:paraId="7ED24359" w14:textId="77777777" w:rsidR="0083022F" w:rsidRPr="00804685" w:rsidRDefault="0083022F" w:rsidP="000D034A">
      <w:pPr>
        <w:rPr>
          <w:lang w:val="en-US"/>
        </w:rPr>
      </w:pPr>
    </w:p>
    <w:sectPr w:rsidR="0083022F" w:rsidRPr="00804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2F"/>
    <w:rsid w:val="00004FBF"/>
    <w:rsid w:val="00021535"/>
    <w:rsid w:val="0005073A"/>
    <w:rsid w:val="00054372"/>
    <w:rsid w:val="00073558"/>
    <w:rsid w:val="00081C29"/>
    <w:rsid w:val="0009358A"/>
    <w:rsid w:val="000957A9"/>
    <w:rsid w:val="000B1EC9"/>
    <w:rsid w:val="000B2FFE"/>
    <w:rsid w:val="000B6E7A"/>
    <w:rsid w:val="000C01A5"/>
    <w:rsid w:val="000C687C"/>
    <w:rsid w:val="000D034A"/>
    <w:rsid w:val="000E2CFE"/>
    <w:rsid w:val="000E560C"/>
    <w:rsid w:val="00102BF4"/>
    <w:rsid w:val="00122E80"/>
    <w:rsid w:val="00132574"/>
    <w:rsid w:val="001357B4"/>
    <w:rsid w:val="00144DBA"/>
    <w:rsid w:val="00164FBA"/>
    <w:rsid w:val="00170D20"/>
    <w:rsid w:val="00180D55"/>
    <w:rsid w:val="00180EEE"/>
    <w:rsid w:val="00183767"/>
    <w:rsid w:val="00190145"/>
    <w:rsid w:val="00195D7E"/>
    <w:rsid w:val="001A708C"/>
    <w:rsid w:val="001C4970"/>
    <w:rsid w:val="001E25F0"/>
    <w:rsid w:val="001F4B9F"/>
    <w:rsid w:val="002128CC"/>
    <w:rsid w:val="00213F39"/>
    <w:rsid w:val="00245B5F"/>
    <w:rsid w:val="00255ABF"/>
    <w:rsid w:val="00277291"/>
    <w:rsid w:val="00292C8C"/>
    <w:rsid w:val="00294AE3"/>
    <w:rsid w:val="002B48C5"/>
    <w:rsid w:val="002E19DF"/>
    <w:rsid w:val="002F4F7B"/>
    <w:rsid w:val="002F6B35"/>
    <w:rsid w:val="003261DE"/>
    <w:rsid w:val="00337829"/>
    <w:rsid w:val="00353468"/>
    <w:rsid w:val="00353A58"/>
    <w:rsid w:val="003829D7"/>
    <w:rsid w:val="003868F4"/>
    <w:rsid w:val="003921D0"/>
    <w:rsid w:val="003A0EB6"/>
    <w:rsid w:val="003B10D9"/>
    <w:rsid w:val="003F1260"/>
    <w:rsid w:val="003F500F"/>
    <w:rsid w:val="00407BAE"/>
    <w:rsid w:val="0043316C"/>
    <w:rsid w:val="0045413D"/>
    <w:rsid w:val="00454455"/>
    <w:rsid w:val="004562D1"/>
    <w:rsid w:val="00460E2A"/>
    <w:rsid w:val="00470E50"/>
    <w:rsid w:val="004874BD"/>
    <w:rsid w:val="004A542B"/>
    <w:rsid w:val="004F0FC2"/>
    <w:rsid w:val="005172E9"/>
    <w:rsid w:val="00517D73"/>
    <w:rsid w:val="00520339"/>
    <w:rsid w:val="00540699"/>
    <w:rsid w:val="00555BCF"/>
    <w:rsid w:val="00557752"/>
    <w:rsid w:val="00577BF9"/>
    <w:rsid w:val="00580A29"/>
    <w:rsid w:val="00586A2A"/>
    <w:rsid w:val="00587696"/>
    <w:rsid w:val="005C2CE3"/>
    <w:rsid w:val="00601D87"/>
    <w:rsid w:val="00641A8D"/>
    <w:rsid w:val="00647D8F"/>
    <w:rsid w:val="00656C20"/>
    <w:rsid w:val="006575E3"/>
    <w:rsid w:val="00693BC6"/>
    <w:rsid w:val="006940E8"/>
    <w:rsid w:val="006A1ABD"/>
    <w:rsid w:val="006A5E86"/>
    <w:rsid w:val="006A6BFC"/>
    <w:rsid w:val="006C5797"/>
    <w:rsid w:val="00712956"/>
    <w:rsid w:val="00724F4D"/>
    <w:rsid w:val="00725DDD"/>
    <w:rsid w:val="007459D1"/>
    <w:rsid w:val="00767AE0"/>
    <w:rsid w:val="00767BAC"/>
    <w:rsid w:val="00782DC2"/>
    <w:rsid w:val="00793DD9"/>
    <w:rsid w:val="007966B7"/>
    <w:rsid w:val="007A31E2"/>
    <w:rsid w:val="007A50B3"/>
    <w:rsid w:val="007A7431"/>
    <w:rsid w:val="007E7A26"/>
    <w:rsid w:val="00804685"/>
    <w:rsid w:val="00827644"/>
    <w:rsid w:val="0083022F"/>
    <w:rsid w:val="00836260"/>
    <w:rsid w:val="00840D2C"/>
    <w:rsid w:val="00845FA7"/>
    <w:rsid w:val="0087269A"/>
    <w:rsid w:val="008838D6"/>
    <w:rsid w:val="00885499"/>
    <w:rsid w:val="008904FD"/>
    <w:rsid w:val="00894148"/>
    <w:rsid w:val="008A6F9C"/>
    <w:rsid w:val="008B406A"/>
    <w:rsid w:val="008C72EF"/>
    <w:rsid w:val="008D00D0"/>
    <w:rsid w:val="008D02DE"/>
    <w:rsid w:val="008E7BE1"/>
    <w:rsid w:val="00901A4C"/>
    <w:rsid w:val="00903E91"/>
    <w:rsid w:val="00910925"/>
    <w:rsid w:val="00955EB7"/>
    <w:rsid w:val="0096157D"/>
    <w:rsid w:val="0097603F"/>
    <w:rsid w:val="00977132"/>
    <w:rsid w:val="00985A6D"/>
    <w:rsid w:val="009D77B3"/>
    <w:rsid w:val="009E2B62"/>
    <w:rsid w:val="009F59D6"/>
    <w:rsid w:val="00A26D1D"/>
    <w:rsid w:val="00A34527"/>
    <w:rsid w:val="00A413C9"/>
    <w:rsid w:val="00A47A05"/>
    <w:rsid w:val="00A53D7F"/>
    <w:rsid w:val="00A568DC"/>
    <w:rsid w:val="00A72E5D"/>
    <w:rsid w:val="00AB4DCD"/>
    <w:rsid w:val="00AE1931"/>
    <w:rsid w:val="00B07483"/>
    <w:rsid w:val="00B10261"/>
    <w:rsid w:val="00B266CD"/>
    <w:rsid w:val="00B26BAE"/>
    <w:rsid w:val="00B43935"/>
    <w:rsid w:val="00B61BD6"/>
    <w:rsid w:val="00B6214F"/>
    <w:rsid w:val="00B668E6"/>
    <w:rsid w:val="00B74376"/>
    <w:rsid w:val="00B7585D"/>
    <w:rsid w:val="00B80BF4"/>
    <w:rsid w:val="00B91666"/>
    <w:rsid w:val="00BA1B70"/>
    <w:rsid w:val="00BA7BAE"/>
    <w:rsid w:val="00BC3EF3"/>
    <w:rsid w:val="00C301B2"/>
    <w:rsid w:val="00C30C8B"/>
    <w:rsid w:val="00C5268C"/>
    <w:rsid w:val="00C67F5F"/>
    <w:rsid w:val="00CD18E6"/>
    <w:rsid w:val="00CE4931"/>
    <w:rsid w:val="00CF2FBD"/>
    <w:rsid w:val="00D07CC1"/>
    <w:rsid w:val="00D170A8"/>
    <w:rsid w:val="00D2150F"/>
    <w:rsid w:val="00D43050"/>
    <w:rsid w:val="00D679B5"/>
    <w:rsid w:val="00D85D8A"/>
    <w:rsid w:val="00D9170D"/>
    <w:rsid w:val="00D945B1"/>
    <w:rsid w:val="00DA01C3"/>
    <w:rsid w:val="00DA52F5"/>
    <w:rsid w:val="00DA60A9"/>
    <w:rsid w:val="00DA78C3"/>
    <w:rsid w:val="00DB7288"/>
    <w:rsid w:val="00DE0AE8"/>
    <w:rsid w:val="00DE7CAF"/>
    <w:rsid w:val="00DF00E0"/>
    <w:rsid w:val="00DF5D51"/>
    <w:rsid w:val="00E01E3E"/>
    <w:rsid w:val="00E30642"/>
    <w:rsid w:val="00E31F67"/>
    <w:rsid w:val="00E40F34"/>
    <w:rsid w:val="00E423DE"/>
    <w:rsid w:val="00E5324E"/>
    <w:rsid w:val="00E5459E"/>
    <w:rsid w:val="00E60933"/>
    <w:rsid w:val="00E80215"/>
    <w:rsid w:val="00E911BF"/>
    <w:rsid w:val="00EA4186"/>
    <w:rsid w:val="00EC1617"/>
    <w:rsid w:val="00EC4F92"/>
    <w:rsid w:val="00ED0023"/>
    <w:rsid w:val="00EF0485"/>
    <w:rsid w:val="00F13171"/>
    <w:rsid w:val="00F25E1A"/>
    <w:rsid w:val="00F30438"/>
    <w:rsid w:val="00F30D31"/>
    <w:rsid w:val="00F56182"/>
    <w:rsid w:val="00F65F5A"/>
    <w:rsid w:val="00F70AE4"/>
    <w:rsid w:val="00F92019"/>
    <w:rsid w:val="00FF47BD"/>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5A1F"/>
  <w15:chartTrackingRefBased/>
  <w15:docId w15:val="{3D7EDDE6-03B1-4CBD-BC03-28B25D6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A5"/>
  </w:style>
  <w:style w:type="paragraph" w:styleId="Heading1">
    <w:name w:val="heading 1"/>
    <w:basedOn w:val="Normal"/>
    <w:next w:val="Normal"/>
    <w:link w:val="Heading1Char"/>
    <w:uiPriority w:val="9"/>
    <w:qFormat/>
    <w:rsid w:val="0083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22F"/>
    <w:rPr>
      <w:rFonts w:eastAsiaTheme="majorEastAsia" w:cstheme="majorBidi"/>
      <w:color w:val="272727" w:themeColor="text1" w:themeTint="D8"/>
    </w:rPr>
  </w:style>
  <w:style w:type="paragraph" w:styleId="Title">
    <w:name w:val="Title"/>
    <w:basedOn w:val="Normal"/>
    <w:next w:val="Normal"/>
    <w:link w:val="TitleChar"/>
    <w:uiPriority w:val="10"/>
    <w:qFormat/>
    <w:rsid w:val="00830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22F"/>
    <w:pPr>
      <w:spacing w:before="160"/>
      <w:jc w:val="center"/>
    </w:pPr>
    <w:rPr>
      <w:i/>
      <w:iCs/>
      <w:color w:val="404040" w:themeColor="text1" w:themeTint="BF"/>
    </w:rPr>
  </w:style>
  <w:style w:type="character" w:customStyle="1" w:styleId="QuoteChar">
    <w:name w:val="Quote Char"/>
    <w:basedOn w:val="DefaultParagraphFont"/>
    <w:link w:val="Quote"/>
    <w:uiPriority w:val="29"/>
    <w:rsid w:val="0083022F"/>
    <w:rPr>
      <w:i/>
      <w:iCs/>
      <w:color w:val="404040" w:themeColor="text1" w:themeTint="BF"/>
    </w:rPr>
  </w:style>
  <w:style w:type="paragraph" w:styleId="ListParagraph">
    <w:name w:val="List Paragraph"/>
    <w:basedOn w:val="Normal"/>
    <w:uiPriority w:val="34"/>
    <w:qFormat/>
    <w:rsid w:val="0083022F"/>
    <w:pPr>
      <w:ind w:left="720"/>
      <w:contextualSpacing/>
    </w:pPr>
  </w:style>
  <w:style w:type="character" w:styleId="IntenseEmphasis">
    <w:name w:val="Intense Emphasis"/>
    <w:basedOn w:val="DefaultParagraphFont"/>
    <w:uiPriority w:val="21"/>
    <w:qFormat/>
    <w:rsid w:val="0083022F"/>
    <w:rPr>
      <w:i/>
      <w:iCs/>
      <w:color w:val="0F4761" w:themeColor="accent1" w:themeShade="BF"/>
    </w:rPr>
  </w:style>
  <w:style w:type="paragraph" w:styleId="IntenseQuote">
    <w:name w:val="Intense Quote"/>
    <w:basedOn w:val="Normal"/>
    <w:next w:val="Normal"/>
    <w:link w:val="IntenseQuoteChar"/>
    <w:uiPriority w:val="30"/>
    <w:qFormat/>
    <w:rsid w:val="0083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22F"/>
    <w:rPr>
      <w:i/>
      <w:iCs/>
      <w:color w:val="0F4761" w:themeColor="accent1" w:themeShade="BF"/>
    </w:rPr>
  </w:style>
  <w:style w:type="character" w:styleId="IntenseReference">
    <w:name w:val="Intense Reference"/>
    <w:basedOn w:val="DefaultParagraphFont"/>
    <w:uiPriority w:val="32"/>
    <w:qFormat/>
    <w:rsid w:val="0083022F"/>
    <w:rPr>
      <w:b/>
      <w:bCs/>
      <w:smallCaps/>
      <w:color w:val="0F4761" w:themeColor="accent1" w:themeShade="BF"/>
      <w:spacing w:val="5"/>
    </w:rPr>
  </w:style>
  <w:style w:type="character" w:styleId="Hyperlink">
    <w:name w:val="Hyperlink"/>
    <w:basedOn w:val="DefaultParagraphFont"/>
    <w:uiPriority w:val="99"/>
    <w:unhideWhenUsed/>
    <w:rsid w:val="000D034A"/>
    <w:rPr>
      <w:color w:val="467886" w:themeColor="hyperlink"/>
      <w:u w:val="single"/>
    </w:rPr>
  </w:style>
  <w:style w:type="character" w:styleId="UnresolvedMention">
    <w:name w:val="Unresolved Mention"/>
    <w:basedOn w:val="DefaultParagraphFont"/>
    <w:uiPriority w:val="99"/>
    <w:semiHidden/>
    <w:unhideWhenUsed/>
    <w:rsid w:val="000D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0469">
      <w:bodyDiv w:val="1"/>
      <w:marLeft w:val="0"/>
      <w:marRight w:val="0"/>
      <w:marTop w:val="0"/>
      <w:marBottom w:val="0"/>
      <w:divBdr>
        <w:top w:val="none" w:sz="0" w:space="0" w:color="auto"/>
        <w:left w:val="none" w:sz="0" w:space="0" w:color="auto"/>
        <w:bottom w:val="none" w:sz="0" w:space="0" w:color="auto"/>
        <w:right w:val="none" w:sz="0" w:space="0" w:color="auto"/>
      </w:divBdr>
    </w:div>
    <w:div w:id="455612088">
      <w:bodyDiv w:val="1"/>
      <w:marLeft w:val="0"/>
      <w:marRight w:val="0"/>
      <w:marTop w:val="0"/>
      <w:marBottom w:val="0"/>
      <w:divBdr>
        <w:top w:val="none" w:sz="0" w:space="0" w:color="auto"/>
        <w:left w:val="none" w:sz="0" w:space="0" w:color="auto"/>
        <w:bottom w:val="none" w:sz="0" w:space="0" w:color="auto"/>
        <w:right w:val="none" w:sz="0" w:space="0" w:color="auto"/>
      </w:divBdr>
    </w:div>
    <w:div w:id="497962566">
      <w:bodyDiv w:val="1"/>
      <w:marLeft w:val="0"/>
      <w:marRight w:val="0"/>
      <w:marTop w:val="0"/>
      <w:marBottom w:val="0"/>
      <w:divBdr>
        <w:top w:val="none" w:sz="0" w:space="0" w:color="auto"/>
        <w:left w:val="none" w:sz="0" w:space="0" w:color="auto"/>
        <w:bottom w:val="none" w:sz="0" w:space="0" w:color="auto"/>
        <w:right w:val="none" w:sz="0" w:space="0" w:color="auto"/>
      </w:divBdr>
    </w:div>
    <w:div w:id="707683955">
      <w:bodyDiv w:val="1"/>
      <w:marLeft w:val="0"/>
      <w:marRight w:val="0"/>
      <w:marTop w:val="0"/>
      <w:marBottom w:val="0"/>
      <w:divBdr>
        <w:top w:val="none" w:sz="0" w:space="0" w:color="auto"/>
        <w:left w:val="none" w:sz="0" w:space="0" w:color="auto"/>
        <w:bottom w:val="none" w:sz="0" w:space="0" w:color="auto"/>
        <w:right w:val="none" w:sz="0" w:space="0" w:color="auto"/>
      </w:divBdr>
    </w:div>
    <w:div w:id="12711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oodtolaw.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583</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Vikor Áron</dc:creator>
  <cp:keywords/>
  <dc:description/>
  <cp:lastModifiedBy>Vikor Áron</cp:lastModifiedBy>
  <cp:revision>18</cp:revision>
  <dcterms:created xsi:type="dcterms:W3CDTF">2025-06-10T07:49:00Z</dcterms:created>
  <dcterms:modified xsi:type="dcterms:W3CDTF">2025-06-10T08:50:00Z</dcterms:modified>
</cp:coreProperties>
</file>